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检验科化学发光设备配套试剂单一来源采购论证报告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一、项目基本信息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</w:rPr>
        <w:t>项目名称：医院检验科化学发光设备配套试剂单一来源采购项目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28"/>
        </w:rPr>
        <w:t>采购单位：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聊城市东昌府区中医院</w:t>
      </w:r>
      <w:r>
        <w:rPr>
          <w:rFonts w:hint="eastAsia" w:ascii="宋体" w:hAnsi="宋体" w:eastAsia="宋体" w:cs="宋体"/>
          <w:sz w:val="28"/>
          <w:szCs w:val="28"/>
        </w:rPr>
        <w:t>检验科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sz w:val="28"/>
          <w:szCs w:val="28"/>
        </w:rPr>
        <w:t>现有设备情况：检验科目前在用化学发光设备为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西门子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Centaur XP</w:t>
      </w:r>
      <w:r>
        <w:rPr>
          <w:rFonts w:hint="eastAsia" w:ascii="宋体" w:hAnsi="宋体" w:eastAsia="宋体" w:cs="宋体"/>
          <w:sz w:val="28"/>
          <w:szCs w:val="28"/>
        </w:rPr>
        <w:t>，该设备为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科室</w:t>
      </w:r>
      <w:r>
        <w:rPr>
          <w:rFonts w:hint="eastAsia" w:ascii="宋体" w:hAnsi="宋体" w:eastAsia="宋体" w:cs="宋体"/>
          <w:sz w:val="28"/>
          <w:szCs w:val="28"/>
        </w:rPr>
        <w:t>临床免疫检测核心设备，主要用于检测传染病标志物、肿瘤标志物、激素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类等项目</w:t>
      </w:r>
      <w:r>
        <w:rPr>
          <w:rFonts w:hint="eastAsia" w:ascii="宋体" w:hAnsi="宋体" w:eastAsia="宋体" w:cs="宋体"/>
          <w:sz w:val="28"/>
          <w:szCs w:val="28"/>
        </w:rPr>
        <w:t>，是保障临床诊断准确性的关键设备。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sz w:val="28"/>
          <w:szCs w:val="28"/>
        </w:rPr>
        <w:t>拟采购试剂：与现有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西门子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Centaur XP</w:t>
      </w:r>
      <w:r>
        <w:rPr>
          <w:rFonts w:hint="eastAsia" w:ascii="宋体" w:hAnsi="宋体" w:eastAsia="宋体" w:cs="宋体"/>
          <w:sz w:val="28"/>
          <w:szCs w:val="28"/>
        </w:rPr>
        <w:t>化学发光设备配套的专用检测试剂</w:t>
      </w:r>
      <w:r>
        <w:rPr>
          <w:rFonts w:hint="eastAsia" w:ascii="宋体" w:hAnsi="宋体" w:eastAsia="宋体" w:cs="宋体"/>
          <w:i w:val="0"/>
          <w:iCs w:val="0"/>
          <w:color w:val="000000"/>
          <w:sz w:val="28"/>
          <w:szCs w:val="28"/>
          <w:u w:val="none"/>
          <w:lang w:val="en-US" w:eastAsia="zh-CN"/>
        </w:rPr>
        <w:t>血清三碘甲状原氨酸（T3）检测试剂盒、血清甲状腺素（T4）检测试剂盒、抗甲状腺球蛋白抗体（TGAb）检测试剂盒、抗甲状腺过氧化物酶抗体（ATPO）检测试剂盒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5、供应商信息：试剂生产厂商为西门子医学诊断产品有限公司，授权唯一经销商为山东东魅商贸有限公司。</w:t>
      </w:r>
    </w:p>
    <w:p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6、项目控制价：</w:t>
      </w:r>
      <w:r>
        <w:rPr>
          <w:rFonts w:hint="eastAsia" w:ascii="宋体" w:hAnsi="宋体" w:eastAsia="宋体" w:cs="宋体"/>
          <w:i w:val="0"/>
          <w:iCs w:val="0"/>
          <w:color w:val="000000"/>
          <w:sz w:val="28"/>
          <w:szCs w:val="28"/>
          <w:u w:val="none"/>
          <w:lang w:val="en-US" w:eastAsia="zh-CN"/>
        </w:rPr>
        <w:t>血清三碘甲状原氨酸（T3）检测试剂盒每人份12.5元、血清甲状腺素（T4）检测试剂盒每人份14.5元、抗甲状腺球蛋白抗体（TGAb）检测试剂盒每人份19.5元、抗甲状腺过氧化物酶抗体（ATPO）检测试剂盒每人份19.5元。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二、单一来源采购申请理由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</w:rPr>
        <w:t>技术层面：专机专用属性决定不可替代性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化学发光设备与配套试剂为同一平台、同一体系研发设计，设备的反应原理、检测参数、软件算法均与原厂试剂形成专属适配关系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设备采用封闭平台设计，试剂的包装规格、接口标准、成分配比均为厂商专有技术，传感器需通过试剂专属标识进行识别，其他品牌试剂无法匹配设备的检测系统。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28"/>
        </w:rPr>
        <w:t xml:space="preserve">质量层面：符合临床检测溯源性要求 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临床检验结果的准确性直接关系到疾病诊断与治疗决策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根据《医疗器械监督管理条例》及检验医学相关规范，检测项目必须具备完整的溯源体系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 xml:space="preserve">原厂配套试剂通过了与设备联用的注册认证，其校准品、质控品与检测试剂形成完整的质量控制体系，可实现检测结果的量值溯源，确保不同批次、不同时间的检测数据具有一致性和可比性。 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sz w:val="28"/>
          <w:szCs w:val="28"/>
        </w:rPr>
        <w:t>政策层面：符合法定单一来源采购情形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本项目符合《中华人民共和国政府采购法》第三十一条第一项规定，即“因使用不可替代的专利、专有技术，导致只能从某一特定供应商处采购”，同时满足《政府采购法实施条例》第二十七条关于专有技术不可替代的核心要求 ，符合地方财政部门关于单一来源采购的相关管理规定。 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综上所述，本项目采购的化学发光配套试剂因具有不可替代的专有技术属性，供应商具有唯一性，且符合国家政府采购相关法律法规及政策要求，为保障临床检验工作的连续性、检测结果的准确性和医疗安全，建议本项目采用单一来源方式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山东东魅商贸有限公司</w:t>
      </w:r>
      <w:r>
        <w:rPr>
          <w:rFonts w:hint="eastAsia" w:ascii="宋体" w:hAnsi="宋体" w:eastAsia="宋体" w:cs="宋体"/>
          <w:sz w:val="28"/>
          <w:szCs w:val="28"/>
        </w:rPr>
        <w:t>采购相关试剂。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DC2027"/>
    <w:rsid w:val="5C35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2026-10-09T00:53:00Z</dcterms:created>
  <dc:creator>Administrator</dc:creator>
  <cp:lastModifiedBy>Administrator</cp:lastModifiedBy>
  <dcterms:modified xsi:type="dcterms:W3CDTF">2026-10-09T02:38:43Z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TemplateDocerSaveRecord">
    <vt:lpwstr>eyJoZGlkIjoiMmFhYzQyYzU0YmZmNzQ3OWU2MGExMDQ5NzlhM2M3YjkiLCJ1c2VySWQiOiIxMTU4MzA1NjE2In0=</vt:lpwstr>
  </property>
  <property fmtid="{D5CDD505-2E9C-101B-9397-08002B2CF9AE}" pid="4" name="ICV">
    <vt:lpwstr>F77242FDAC934BFCA30534830B4591E7_12</vt:lpwstr>
  </property>
</Properties>
</file>